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DC6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625" w:beforeAutospacing="0" w:after="0" w:afterAutospacing="0" w:line="600" w:lineRule="atLeast"/>
        <w:ind w:left="0" w:right="0" w:firstLine="0"/>
        <w:jc w:val="center"/>
        <w:textAlignment w:val="auto"/>
        <w:rPr>
          <w:rFonts w:hint="eastAsia" w:ascii="宋体" w:hAnsi="宋体" w:eastAsia="宋体" w:cs="宋体"/>
          <w:i w:val="0"/>
          <w:iCs w:val="0"/>
          <w:caps w:val="0"/>
          <w:color w:val="636363"/>
          <w:spacing w:val="0"/>
          <w:sz w:val="18"/>
          <w:szCs w:val="18"/>
          <w:shd w:val="clear"/>
        </w:rPr>
      </w:pPr>
      <w:bookmarkStart w:id="0" w:name="_GoBack"/>
      <w:r>
        <w:rPr>
          <w:rFonts w:ascii="方正小标宋简体" w:hAnsi="方正小标宋简体" w:eastAsia="方正小标宋简体" w:cs="方正小标宋简体"/>
          <w:i w:val="0"/>
          <w:iCs w:val="0"/>
          <w:caps w:val="0"/>
          <w:color w:val="636363"/>
          <w:spacing w:val="0"/>
          <w:kern w:val="0"/>
          <w:sz w:val="44"/>
          <w:szCs w:val="44"/>
          <w:bdr w:val="none" w:color="auto" w:sz="0" w:space="0"/>
          <w:shd w:val="clear"/>
          <w:lang w:val="en-US" w:eastAsia="zh-CN" w:bidi="ar"/>
        </w:rPr>
        <w:t>2026</w:t>
      </w:r>
      <w:r>
        <w:rPr>
          <w:rFonts w:hint="default" w:ascii="方正小标宋简体" w:hAnsi="方正小标宋简体" w:eastAsia="方正小标宋简体" w:cs="方正小标宋简体"/>
          <w:i w:val="0"/>
          <w:iCs w:val="0"/>
          <w:caps w:val="0"/>
          <w:color w:val="636363"/>
          <w:spacing w:val="0"/>
          <w:kern w:val="0"/>
          <w:sz w:val="44"/>
          <w:szCs w:val="44"/>
          <w:bdr w:val="none" w:color="auto" w:sz="0" w:space="0"/>
          <w:shd w:val="clear"/>
          <w:lang w:val="en-US" w:eastAsia="zh-CN" w:bidi="ar"/>
        </w:rPr>
        <w:t>年度上海市哲学社会科学规划项目</w:t>
      </w:r>
    </w:p>
    <w:p w14:paraId="2E4810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atLeast"/>
        <w:ind w:left="0" w:right="0" w:firstLine="0"/>
        <w:jc w:val="center"/>
        <w:textAlignment w:val="auto"/>
        <w:rPr>
          <w:rFonts w:hint="eastAsia" w:ascii="宋体" w:hAnsi="宋体" w:eastAsia="宋体" w:cs="宋体"/>
          <w:i w:val="0"/>
          <w:iCs w:val="0"/>
          <w:caps w:val="0"/>
          <w:color w:val="636363"/>
          <w:spacing w:val="0"/>
          <w:sz w:val="18"/>
          <w:szCs w:val="18"/>
          <w:shd w:val="clear"/>
        </w:rPr>
      </w:pPr>
      <w:r>
        <w:rPr>
          <w:rFonts w:hint="default" w:ascii="方正小标宋简体" w:hAnsi="方正小标宋简体" w:eastAsia="方正小标宋简体" w:cs="方正小标宋简体"/>
          <w:i w:val="0"/>
          <w:iCs w:val="0"/>
          <w:caps w:val="0"/>
          <w:color w:val="636363"/>
          <w:spacing w:val="0"/>
          <w:kern w:val="0"/>
          <w:sz w:val="44"/>
          <w:szCs w:val="44"/>
          <w:bdr w:val="none" w:color="auto" w:sz="0" w:space="0"/>
          <w:shd w:val="clear"/>
          <w:lang w:val="en-US" w:eastAsia="zh-CN" w:bidi="ar"/>
        </w:rPr>
        <w:t>重点选题方向</w:t>
      </w:r>
      <w:bookmarkEnd w:id="0"/>
    </w:p>
    <w:p w14:paraId="5CA6B8E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atLeast"/>
        <w:ind w:left="0" w:right="0" w:firstLine="0"/>
        <w:jc w:val="center"/>
        <w:textAlignment w:val="auto"/>
        <w:rPr>
          <w:rFonts w:hint="eastAsia" w:ascii="宋体" w:hAnsi="宋体" w:eastAsia="宋体" w:cs="宋体"/>
          <w:i w:val="0"/>
          <w:iCs w:val="0"/>
          <w:caps w:val="0"/>
          <w:color w:val="636363"/>
          <w:spacing w:val="0"/>
          <w:sz w:val="18"/>
          <w:szCs w:val="18"/>
          <w:shd w:val="clear"/>
        </w:rPr>
      </w:pPr>
      <w:r>
        <w:rPr>
          <w:rFonts w:ascii="仿宋_GB2312" w:hAnsi="宋体" w:eastAsia="仿宋_GB2312" w:cs="仿宋_GB2312"/>
          <w:i w:val="0"/>
          <w:iCs w:val="0"/>
          <w:caps w:val="0"/>
          <w:color w:val="636363"/>
          <w:spacing w:val="0"/>
          <w:kern w:val="0"/>
          <w:sz w:val="32"/>
          <w:szCs w:val="32"/>
          <w:bdr w:val="none" w:color="auto" w:sz="0" w:space="0"/>
          <w:shd w:val="clear"/>
          <w:lang w:val="en-US" w:eastAsia="zh-CN" w:bidi="ar"/>
        </w:rPr>
        <w:t> </w:t>
      </w:r>
    </w:p>
    <w:p w14:paraId="4306ACE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atLeast"/>
        <w:ind w:left="0" w:right="0" w:firstLine="640"/>
        <w:jc w:val="both"/>
        <w:textAlignment w:val="auto"/>
        <w:rPr>
          <w:rFonts w:hint="eastAsia" w:ascii="宋体" w:hAnsi="宋体" w:eastAsia="宋体" w:cs="宋体"/>
          <w:i w:val="0"/>
          <w:iCs w:val="0"/>
          <w:caps w:val="0"/>
          <w:color w:val="636363"/>
          <w:spacing w:val="0"/>
          <w:sz w:val="18"/>
          <w:szCs w:val="18"/>
          <w:shd w:val="clear"/>
        </w:rPr>
      </w:pPr>
      <w:r>
        <w:rPr>
          <w:rFonts w:ascii="楷体_GB2312" w:hAnsi="宋体" w:eastAsia="楷体_GB2312" w:cs="楷体_GB2312"/>
          <w:i w:val="0"/>
          <w:iCs w:val="0"/>
          <w:caps w:val="0"/>
          <w:color w:val="636363"/>
          <w:spacing w:val="0"/>
          <w:kern w:val="0"/>
          <w:sz w:val="32"/>
          <w:szCs w:val="32"/>
          <w:bdr w:val="none" w:color="auto" w:sz="0" w:space="0"/>
          <w:shd w:val="clear"/>
          <w:lang w:val="en-US" w:eastAsia="zh-CN" w:bidi="ar"/>
        </w:rPr>
        <w:t>注：选题方向只明确研究主题和范围导向，申请人须结合自身学术专长，目标导向与自由探索相结合，从不同学科领域、不同学术视角自拟题目，设计研究方案和调研计划，细化研究问题进行申报。</w:t>
      </w:r>
    </w:p>
    <w:p w14:paraId="0FF4AC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atLeast"/>
        <w:ind w:left="0" w:right="0" w:firstLine="0"/>
        <w:jc w:val="center"/>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 </w:t>
      </w:r>
    </w:p>
    <w:p w14:paraId="6269E7E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ascii="黑体" w:hAnsi="宋体" w:eastAsia="黑体" w:cs="黑体"/>
          <w:i w:val="0"/>
          <w:iCs w:val="0"/>
          <w:caps w:val="0"/>
          <w:color w:val="636363"/>
          <w:spacing w:val="0"/>
          <w:kern w:val="0"/>
          <w:sz w:val="32"/>
          <w:szCs w:val="32"/>
          <w:bdr w:val="none" w:color="auto" w:sz="0" w:space="0"/>
          <w:shd w:val="clear"/>
          <w:lang w:val="en-US" w:eastAsia="zh-CN" w:bidi="ar"/>
        </w:rPr>
        <w:t>一、</w:t>
      </w:r>
      <w:r>
        <w:rPr>
          <w:rFonts w:hint="eastAsia" w:ascii="黑体" w:hAnsi="宋体" w:eastAsia="黑体" w:cs="黑体"/>
          <w:i w:val="0"/>
          <w:iCs w:val="0"/>
          <w:caps w:val="0"/>
          <w:color w:val="636363"/>
          <w:spacing w:val="-11"/>
          <w:kern w:val="0"/>
          <w:sz w:val="32"/>
          <w:szCs w:val="32"/>
          <w:bdr w:val="none" w:color="auto" w:sz="0" w:space="0"/>
          <w:shd w:val="clear"/>
          <w:lang w:val="en-US" w:eastAsia="zh-CN" w:bidi="ar"/>
        </w:rPr>
        <w:t>习近平新时代中国特色社会主义思想体系化学理化研究</w:t>
      </w:r>
    </w:p>
    <w:p w14:paraId="5EB5CD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习近平总书记考察上海重要讲话精神和对上海工作重要指示要求，“四个放在”政治要求研究，习近平总书记关于基础研究重要论述，习近平总书记关于人工智能重要论述，习近平总书记关于城市工作重要论述，习近平总书记关于哲学社会科学高质量发展重要论述，习近平总书记关于服务业发展重要论述，习近平总书记关于未来产业重要论述，新时代党的创新理论国际传播与影响力提升等。</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35F0E3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03430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专题1：习近平党建思想与上海实践研究</w:t>
            </w:r>
          </w:p>
        </w:tc>
      </w:tr>
      <w:tr w14:paraId="0A3FBF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38AC8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习近平党建思想的重大意义及其原理性成果、原创性贡献研究，习近平党建思想的精髓要义、实践基础与理论渊源研究，习近平党建思想对人类政治文明发展进步和政党建设的世界意义研究，习近平党建思想与推进党的自我革命研究，习近平党建思想与伟大建党精神传承和践行研究，习近平总书记对上海城市基层党建重要指示精神与新时代实践创新研究，党建引领超大城市基层治理现代化的上海实践研究，上海健全全面从严治党体系实践研究，超大城市新兴领域党建高质量发展研究等。</w:t>
            </w:r>
          </w:p>
        </w:tc>
      </w:tr>
    </w:tbl>
    <w:p w14:paraId="12DCEE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二、上海推进中国式现代化建设的生动实践与案例研究</w:t>
      </w:r>
    </w:p>
    <w:p w14:paraId="01B84C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上海在推进中国式现代化中充分发挥龙头带动和示范引领作用的理论逻辑、实践逻辑、制度逻辑，国家重大战略牵引与“五个中心”建设整体联动，城市核心功能提升与推动经济高质量发展，全过程人民民主融入城市治理现代化，上海新质生产力培育与现代化产业体系构建研究，文商旅体展联动与国际消费中心城市建设，生产性服务业发展与打造“上海服务”品牌，全球供应链管理与航贸数字化，国际商事争议解决高地建设与制度引领，企业全生命周期服务与提高营商环境质量，园区规模化集约化与产业生态培育，企业主导的产学研用深度融合，浦东引领区制度型开放与首创性改革，开发区管理制度改革与园区集约化发展研究，一体推进教育科技人才体制机制改革，推动区域协调发展与促进共同富裕，统筹高质量发展和高水平安全，超大城市经济社会发展全面绿色转型等。</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678F25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1207AC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专题2：深化上海“五个中心”建设研究</w:t>
            </w:r>
          </w:p>
        </w:tc>
      </w:tr>
      <w:tr w14:paraId="2A2504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77991E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上海“五个中心”建设协同与整体效应研究，加快推进上海（长三角）国际科技创新中心建设研究，上海经济转型升级与增强经济韧性研究，上海深化离岸金融发展研究，科技金融服务与耐心资本培育研究，科技金融与绿色金融协同发展研究，自贸试验区优化布局与国际贸易中心提质升级研究，深化内外贸一体化研究，上海推动航运物流降本提质增效研究，上海推动服务业优质高效发展研究，以高端化、绿色化、智能化产业需求牵引科技创新研究等。</w:t>
            </w:r>
          </w:p>
        </w:tc>
      </w:tr>
    </w:tbl>
    <w:p w14:paraId="205D7C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 </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6BFDF3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42BBC0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专题3：高水平制度型开放研究</w:t>
            </w:r>
          </w:p>
        </w:tc>
      </w:tr>
      <w:tr w14:paraId="2CB194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51A27F9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规则、规制、管理、标准等制度型开放的上海实践与国际经验比较研究，对接国际高标准经贸规则重点领域与先行先试研究，服务业扩大开放综合试点制度创新与风险防控研究，数字贸易、跨境服务贸易领域国际规则衔接研究，航贸数字化体系化推进与全球供应链管理研究，东方枢纽国际商务合作区与自贸试验区、临港新片区的制度协同研究，虹桥国际开放枢纽服务辐射能级提升研究，重点产业检测认证结果国际互认研究，外商投资促进制度体系的优化与国际经验借鉴研究等。</w:t>
            </w:r>
          </w:p>
        </w:tc>
      </w:tr>
    </w:tbl>
    <w:p w14:paraId="7BDFAC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三、上海推动基础研究与国际科创中心建设研究</w:t>
      </w:r>
    </w:p>
    <w:p w14:paraId="72D73D3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上海加强基础研究的战略布局与先行区建设，上海基础研究“选人选题”机制改革与完善长周期支持体系，上海率先探索基础研究工作评价体系创新，基础研究力量协同与新型研发机构发展，体系化推动概念验证、中试放大与高质量孵化器建设，上海未来产业培育与颠覆性技术布局，全生命周期科技金融服务体系与高风险长周期融资机制，上海（长三角）国际科技创新中心央地共建与跨区域协同，上海融入全球创新网络与基础研究国际合作，上海代表国家参与国际大科学计划和大科学工程、提升全球科技治理话语权。</w:t>
      </w:r>
    </w:p>
    <w:p w14:paraId="450A3C1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四、超大城市治理现代化与高质量发展研究</w:t>
      </w:r>
    </w:p>
    <w:p w14:paraId="506EE4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人民城市理念与加快推动超大城市治理现代化，全过程人民民主与治理共同体建设，提升城市治理科学化、精细化、智能化水平，城市数字化转型与智慧城市建设，“三所联动”“多格合一”与深化城市基层治理，“一网通办”“一网统管”与治理效能提升，乡村全面振兴与超大城市城乡融合发展，全面依法治市与法治上海建设，国际消费中心城市建设与消费新场景培育，全球供应链管理与大宗商品资源配置，上海国资国企改革与国有经济布局优化，上海民营经济高质量发展，超大城市创新创业生态与人才高地建设，促进就业与社会保障体系完善等。</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217E0E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2E24BC3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专题4：上海城市更新与治理创新研究</w:t>
            </w:r>
          </w:p>
        </w:tc>
      </w:tr>
      <w:tr w14:paraId="6A1A14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DE5A22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超大城市创新治理手段、治理模式、治理理念研究，超大城市可持续更新政策体系与实施机制研究，提升城区功能品质与促进产城融合、职住平衡研究，老旧小区、城中村及不成套住房改造实践研究，超大城市存量空间优化利用研究，城市资源盘活与低效用地再开发研究，城市更新中的风貌保护与功能提升研究，超大城市生物多样性与保护野生动植物研究，人口结构变化背景下教育、医疗等公共服务供给优化研究，社会治理重心下移与为基层减负增能研究，基层法治与多元纠纷化解机制研究，家庭家教家风建设在基层治理中作用发挥研究，党建引领物业治理研究，韧性安全城市建设与城市安全风险防控研究等。</w:t>
            </w:r>
          </w:p>
        </w:tc>
      </w:tr>
    </w:tbl>
    <w:p w14:paraId="00DD11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五、国情市情调研与实践案例研究</w:t>
      </w:r>
    </w:p>
    <w:p w14:paraId="7F6055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优化市场化、法治化、国际化一流营商环境建设，高成长企业全生命周期服务需求调研，高端服务业发展需求调研与提升国际竞争力研究，先进制造业与现代服务业深度融合研究，以需求为牵引推进服务消费优化供给研究，应用开发、成果转化创新链条，国家战略科技力量与上海新型研发机构协同，提升科技创新公共平台服务能级和效用研究，东方枢纽国际商务合作区政策设计和功能创新需求调研，城市产业工人队伍建设研究等。</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7753FB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4CBBE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专题5：长三角一体化发展调查研究</w:t>
            </w:r>
          </w:p>
        </w:tc>
      </w:tr>
      <w:tr w14:paraId="04112D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9CB9E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长三角创新联合体建设调查研究，长三角生态绿色一体化发展示范区功能提升调查研究，长三角世界级产业集群培育与产业链安全调查研究，长三角服务全国统一大市场深化要素市场化配置调查研究，长三角航贸数字化平台跨区域扩围提质放量调查研究，长三角新型能源体系与绿色交通协同发展调查研究，长三角跨行政区毗邻地区高质量协同发展调查研究，G60科创走廊与沿沪宁产业创新带建设调查研究，虹桥国际开放枢纽辐射能级提升与联动发展调查研究等。</w:t>
            </w:r>
          </w:p>
        </w:tc>
      </w:tr>
    </w:tbl>
    <w:p w14:paraId="3DCC1FC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六、学术发展与创新研究</w:t>
      </w:r>
    </w:p>
    <w:p w14:paraId="6F951C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中国共产党党史、新中国史、改革开放史、社会主义发展史，马克思主义哲学、政治经济学、科学社会主义与国际共产主义运动、中共党史党建学，中国文化史、学术史和思想史，中华民族历史观与铸牢中华民族共同体意识研究，考古学、古文字学、濒危语言、艺术史等领域研究，中国古代文学史料与文学思潮，中外文学理论比较研究，重要历史文化史料文献整理研究，哲学社会科学数据治理研究，大众学术传播与哲学社会科学知识普及，大中小学思想政治教育一体化建设，哲学社会科学各学科领域基础理论、学科史、方法论、前沿问题，各学科理论联系实际的研究等。</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64FB88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4BD919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专题6：中国哲学社会科学自主知识体系研究</w:t>
            </w:r>
          </w:p>
        </w:tc>
      </w:tr>
      <w:tr w14:paraId="0AD9BB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0BCD9D8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中国特色哲学社会科学学科体系、学术体系、话语体系、教材体系建设研究，各学科构建自主知识体系的原创性概念、命题和理论研究，纪检监察学、国家安全学、人文经济学研究，中国特色社会主义宗教理论研究，文明学、古典学、边疆学、青年学、老年学、城市学、文化遗产学研究，考古学、古文字学、濒危语言、艺术史等领域研究，战略性新兴学科、交叉学科自主知识体系研究，加快构建世界中国学自主知识体系与中国国际话语权提升研究，打造融通中外的自主知识体系新概念新范畴新表述研究，上海哲学社会科学发展与学术史梳理研究，深化哲学社会科学实验室组织模式、评价体系和资源配置机制改革研究，推进哲学社会科学学术评价改革研究等。</w:t>
            </w:r>
          </w:p>
        </w:tc>
      </w:tr>
    </w:tbl>
    <w:p w14:paraId="0BADA68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七、中华优秀传统文化与世界文明研究</w:t>
      </w:r>
    </w:p>
    <w:p w14:paraId="19163A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马克思主义基本原理同中国具体实际相结合、同中华优秀传统文化相结合，中国历史文化，中华文明的起源与发展，中华文明特质和形态研究，中华文明标识体系，中华优秀传统文化、革命文化、社会主义先进文化蕴含的思想观念、人民精神、道德规范研究，古代国家形态与国家治理，古代文明起源，人类文明演进历程，世界历史发展规律，世界文明多样性，全人类共同价值，文明传承和创新，中外文明比较和跨文明比较，文明交流互鉴和文明对话等。</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3640E2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37729B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专题7：建设习近平文化思想最佳实践地研究</w:t>
            </w:r>
          </w:p>
        </w:tc>
      </w:tr>
      <w:tr w14:paraId="3DDBDE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E8B87D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党的诞生地红色文化资源保护、传承与活化利用研究，红色文化、海派文化、江南文化创新研究，提升文化软实力与打响上海文化品牌研究，文化事业与文化产业繁荣发展研究，历史文化保护利用传承与文脉延续研究，红色场馆联动协同与叙事能力提升研究，科技考古赋能历史文化资源挖掘保护利用研究，新生代受众媒介需求与主流媒体系统性变革研究，上海电影经济发展与人才培养、场景培育、传播效能提升研究，上海红色旅游、红色题材开发与品牌打造研究，上海加快推进AI赋能网络视听高质量发展研究，数智文艺创新发展研究，文化出海与国际传播能力建设研究，加快构建中国话语和中国叙事体系研究等。</w:t>
            </w:r>
          </w:p>
        </w:tc>
      </w:tr>
    </w:tbl>
    <w:p w14:paraId="3A5FC19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八、区域国别研究</w:t>
      </w:r>
    </w:p>
    <w:p w14:paraId="36C9D4D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全球发展倡议、全球安全倡议、全球文明倡议、全球治理倡议，全球格局与国际秩序演变，大国关系动态跟踪研判和主动谋划运筹，重点国家战略性系统性研究，全球南方现代化发展与国家治理，全球节点城市研究，国际战略问题演进与跟踪研究，世界各国、各区域和国际组织跨学科研究，“一国”“一域”精准研判研究，全球主权债务治理与改革，国内外区域国别学文献编纂与数据档案整理研究，区域国别研究的知识转化与应用等。</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35E9F4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008D08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专题8：完善企业走出去与上海海外综合服务体系研究</w:t>
            </w:r>
          </w:p>
        </w:tc>
      </w:tr>
      <w:tr w14:paraId="699DFB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71ACED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一带一路”沿线国家法律环境与经贸规则研究，共建“一带一路”中规则标准“软联通”研究，国际商事纠纷解决与上海国际商事能力建设研究，企业出海与供应链韧性和安全互动关系研究，上海服务企业出海专业服务能力提升与海外综合服务体系完善研究，企业全球化经营能力与境外风险治理体系研究，对外发展融资体系的结构、绩效与风险治理研究，面向国际组织输送高层次人才研究等。</w:t>
            </w:r>
          </w:p>
        </w:tc>
      </w:tr>
    </w:tbl>
    <w:p w14:paraId="742040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 </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2B2337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5DE6A5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专题9：涉外法治与上海高端法律服务业研究</w:t>
            </w:r>
          </w:p>
        </w:tc>
      </w:tr>
      <w:tr w14:paraId="5B3E21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6E9EB13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上海涉外法治建设与法律服务能力提升研究，涉外法律服务网络布局与拓展研究，上海国际法律服务枢纽建设与优化涉外法律服务研究，涉外商事争议多元化解决机制研究，企业出海合规风险识别与法律防范研究，上海在涉外法治领域参与国际规则制定、提升国际话语权研究，浦东新区涉外法治领域立法创新研究，北外滩国际法律服务枢纽功能提升研究，涉外法治人才引育研究等。</w:t>
            </w:r>
          </w:p>
        </w:tc>
      </w:tr>
    </w:tbl>
    <w:p w14:paraId="567D149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20" w:beforeAutospacing="0" w:after="120"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eastAsia" w:ascii="黑体" w:hAnsi="宋体" w:eastAsia="黑体" w:cs="黑体"/>
          <w:i w:val="0"/>
          <w:iCs w:val="0"/>
          <w:caps w:val="0"/>
          <w:color w:val="636363"/>
          <w:spacing w:val="0"/>
          <w:kern w:val="0"/>
          <w:sz w:val="32"/>
          <w:szCs w:val="32"/>
          <w:bdr w:val="none" w:color="auto" w:sz="0" w:space="0"/>
          <w:shd w:val="clear"/>
          <w:lang w:val="en-US" w:eastAsia="zh-CN" w:bidi="ar"/>
        </w:rPr>
        <w:t>九、前沿领域与交叉研究</w:t>
      </w:r>
    </w:p>
    <w:p w14:paraId="697CF5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Autospacing="0" w:line="216" w:lineRule="atLeast"/>
        <w:ind w:left="0" w:right="0" w:firstLine="640"/>
        <w:jc w:val="left"/>
        <w:textAlignment w:val="auto"/>
        <w:rPr>
          <w:rFonts w:hint="eastAsia" w:ascii="宋体" w:hAnsi="宋体" w:eastAsia="宋体" w:cs="宋体"/>
          <w:i w:val="0"/>
          <w:iCs w:val="0"/>
          <w:caps w:val="0"/>
          <w:color w:val="636363"/>
          <w:spacing w:val="0"/>
          <w:sz w:val="18"/>
          <w:szCs w:val="18"/>
          <w:shd w:val="clear"/>
        </w:rPr>
      </w:pPr>
      <w:r>
        <w:rPr>
          <w:rFonts w:hint="default" w:ascii="仿宋_GB2312" w:hAnsi="宋体" w:eastAsia="仿宋_GB2312" w:cs="仿宋_GB2312"/>
          <w:i w:val="0"/>
          <w:iCs w:val="0"/>
          <w:caps w:val="0"/>
          <w:color w:val="636363"/>
          <w:spacing w:val="0"/>
          <w:kern w:val="0"/>
          <w:sz w:val="32"/>
          <w:szCs w:val="32"/>
          <w:bdr w:val="none" w:color="auto" w:sz="0" w:space="0"/>
          <w:shd w:val="clear"/>
          <w:lang w:val="en-US" w:eastAsia="zh-CN" w:bidi="ar"/>
        </w:rPr>
        <w:t>数智技术对社会结构、生活方式、行为能力影响，前沿技术创新发展中的新兴法律问题，数智时代中国青年价值引领，数智社会的劳动方式革新与劳动治理转型，具身智能与未来产业发展，青年发展型城市建设与青年人才集聚，交叉学科建设与拔尖创新人才培养，哲学社会科学与自然科学交叉融合，科学智能与科研范式变革等。</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8504"/>
      </w:tblGrid>
      <w:tr w14:paraId="3F73B1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50" w:hRule="atLeast"/>
          <w:jc w:val="center"/>
        </w:trPr>
        <w:tc>
          <w:tcPr>
            <w:tcW w:w="8504" w:type="dxa"/>
            <w:tcBorders>
              <w:top w:val="single" w:color="auto" w:sz="8" w:space="0"/>
              <w:left w:val="single" w:color="auto" w:sz="8" w:space="0"/>
              <w:bottom w:val="single" w:color="auto" w:sz="8" w:space="0"/>
              <w:right w:val="single" w:color="auto" w:sz="8" w:space="0"/>
            </w:tcBorders>
            <w:shd w:val="clear"/>
            <w:tcMar>
              <w:top w:w="0" w:type="dxa"/>
              <w:left w:w="108" w:type="dxa"/>
              <w:bottom w:w="0" w:type="dxa"/>
              <w:right w:w="108" w:type="dxa"/>
            </w:tcMar>
            <w:vAlign w:val="center"/>
          </w:tcPr>
          <w:p w14:paraId="627DC86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jc w:val="center"/>
              <w:textAlignment w:val="auto"/>
              <w:rPr>
                <w:rFonts w:hint="eastAsia" w:ascii="宋体" w:hAnsi="宋体" w:eastAsia="宋体" w:cs="宋体"/>
                <w:color w:val="636363"/>
                <w:sz w:val="18"/>
                <w:szCs w:val="18"/>
                <w:shd w:val="clear"/>
              </w:rPr>
            </w:pPr>
            <w:r>
              <w:rPr>
                <w:rFonts w:hint="eastAsia" w:ascii="黑体" w:hAnsi="宋体" w:eastAsia="黑体" w:cs="黑体"/>
                <w:color w:val="636363"/>
                <w:kern w:val="0"/>
                <w:sz w:val="32"/>
                <w:szCs w:val="32"/>
                <w:bdr w:val="none" w:color="auto" w:sz="0" w:space="0"/>
                <w:shd w:val="clear"/>
                <w:lang w:val="en-US" w:eastAsia="zh-CN" w:bidi="ar"/>
              </w:rPr>
              <w:t>专题10：上海人工智能发展与治理研究</w:t>
            </w:r>
          </w:p>
        </w:tc>
      </w:tr>
      <w:tr w14:paraId="492C33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15" w:type="dxa"/>
            <w:left w:w="15" w:type="dxa"/>
            <w:bottom w:w="15" w:type="dxa"/>
            <w:right w:w="15" w:type="dxa"/>
          </w:tblCellMar>
        </w:tblPrEx>
        <w:trPr>
          <w:jc w:val="center"/>
        </w:trPr>
        <w:tc>
          <w:tcPr>
            <w:tcW w:w="8504" w:type="dxa"/>
            <w:tcBorders>
              <w:top w:val="nil"/>
              <w:left w:val="single" w:color="auto" w:sz="8" w:space="0"/>
              <w:bottom w:val="single" w:color="auto" w:sz="8" w:space="0"/>
              <w:right w:val="single" w:color="auto" w:sz="8" w:space="0"/>
            </w:tcBorders>
            <w:shd w:val="clear"/>
            <w:tcMar>
              <w:top w:w="0" w:type="dxa"/>
              <w:left w:w="108" w:type="dxa"/>
              <w:bottom w:w="0" w:type="dxa"/>
              <w:right w:w="108" w:type="dxa"/>
            </w:tcMar>
            <w:vAlign w:val="top"/>
          </w:tcPr>
          <w:p w14:paraId="3D06416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16" w:lineRule="atLeast"/>
              <w:ind w:left="0" w:right="0" w:firstLine="640"/>
              <w:jc w:val="left"/>
              <w:textAlignment w:val="auto"/>
              <w:rPr>
                <w:rFonts w:hint="eastAsia" w:ascii="宋体" w:hAnsi="宋体" w:eastAsia="宋体" w:cs="宋体"/>
                <w:color w:val="636363"/>
                <w:sz w:val="18"/>
                <w:szCs w:val="18"/>
                <w:shd w:val="clear"/>
              </w:rPr>
            </w:pPr>
            <w:r>
              <w:rPr>
                <w:rFonts w:hint="default" w:ascii="楷体_GB2312" w:hAnsi="宋体" w:eastAsia="楷体_GB2312" w:cs="楷体_GB2312"/>
                <w:color w:val="636363"/>
                <w:kern w:val="0"/>
                <w:sz w:val="32"/>
                <w:szCs w:val="32"/>
                <w:bdr w:val="none" w:color="auto" w:sz="0" w:space="0"/>
                <w:shd w:val="clear"/>
                <w:lang w:val="en-US" w:eastAsia="zh-CN" w:bidi="ar"/>
              </w:rPr>
              <w:t>人工智能发展和治理创新研究，生成式人工智能的价值观对齐研究，人工智能对就业与收入分配影响研究，人工智能发展政策制度、法律法规和治理规范研究，人工智能价值链战略竞争与治理研究，人工智能伦理、数据安全与算法治理研究，人工智能驱动哲学社会科学研究范式转变研究，哲学社会科学研究向人机协同模式转变研究，人工智能时代哲学社会科学科研伦理准则研究等。</w:t>
            </w:r>
          </w:p>
        </w:tc>
      </w:tr>
    </w:tbl>
    <w:p w14:paraId="74D1E143">
      <w:pPr>
        <w:keepNext w:val="0"/>
        <w:keepLines w:val="0"/>
        <w:pageBreakBefore w:val="0"/>
        <w:shd w:val="clear"/>
        <w:kinsoku/>
        <w:wordWrap/>
        <w:overflowPunct/>
        <w:topLinePunct w:val="0"/>
        <w:autoSpaceDE/>
        <w:autoSpaceDN/>
        <w:bidi w:val="0"/>
        <w:adjustRightInd/>
        <w:snapToGrid/>
        <w:textAlignment w:val="auto"/>
        <w:rPr>
          <w:shd w:val="clear"/>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BE25B2F9">
    <w:panose1 w:val="0201060103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汉仪劲楷简">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B3062"/>
    <w:rsid w:val="3FFB3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4</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2026-10-19T01:01:00Z</dcterms:created>
  <dc:creator>海阔天空</dc:creator>
  <cp:lastModifiedBy>海阔天空</cp:lastModifiedBy>
  <dcterms:modified xsi:type="dcterms:W3CDTF">2026-10-19T01:08:04Z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AEEAEA5016674D3B918A396464F188B0_11</vt:lpwstr>
  </property>
  <property fmtid="{D5CDD505-2E9C-101B-9397-08002B2CF9AE}" pid="4" name="KSOTemplateDocerSaveRecord">
    <vt:lpwstr>eyJoZGlkIjoiNzVlOTdiNjFmYmYxNDI3OTQ3NmYxOGJmMThiODYwNDMiLCJ1c2VySWQiOiIzOTkxODM2OTcifQ==</vt:lpwstr>
  </property>
</Properties>
</file>